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浙江师范大学行知学院</w:t>
      </w:r>
    </w:p>
    <w:p>
      <w:pPr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202</w:t>
      </w:r>
      <w:r>
        <w:rPr>
          <w:rFonts w:hint="default" w:ascii="方正小标宋简体" w:hAnsi="宋体" w:eastAsia="方正小标宋简体"/>
          <w:spacing w:val="-20"/>
          <w:sz w:val="44"/>
          <w:szCs w:val="44"/>
          <w:lang w:val="en-US"/>
        </w:rPr>
        <w:t>3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eastAsia="zh-CN"/>
        </w:rPr>
        <w:t>校企合作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教学改革研究项目选题指南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“政产学研用”办学模式创新与实践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面向区域产业急需的现代产业学院建设探索与实践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校政企合作的“大思政课”教学改革探索与实践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多层次“双师双能型”教师培养培训基地与培训体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系构建的探索与实践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校企合作人才培养实践创新平台建设探索与实践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校企合作教学策略、困境与解决方法研究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校企合作管理机制研究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校企合作课程体系研究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校企合作课程建设研究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校企合作教材建设研究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校企合作课堂教学改革研究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校企合作基层教学组织创新研究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校企合作学生创新创业实践能力研究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校企合作教学评价研究</w:t>
      </w:r>
    </w:p>
    <w:p>
      <w:pPr>
        <w:pStyle w:val="4"/>
        <w:numPr>
          <w:ilvl w:val="0"/>
          <w:numId w:val="1"/>
        </w:numPr>
        <w:spacing w:line="560" w:lineRule="exact"/>
        <w:ind w:left="0"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其他与校企合作建设密切相关的教学改革与实践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930B3"/>
    <w:multiLevelType w:val="multilevel"/>
    <w:tmpl w:val="57A930B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F1F25"/>
    <w:rsid w:val="6C8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2023-03-29T01:21:07Z</dcterms:created>
  <dc:creator>Administrator</dc:creator>
  <cp:lastModifiedBy>徐燕</cp:lastModifiedBy>
  <dcterms:modified xsi:type="dcterms:W3CDTF">2023-03-29T01:23:13Z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506354B05123405E92408EAD2BCF317A</vt:lpwstr>
  </property>
</Properties>
</file>