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8B" w:rsidRDefault="0041158B" w:rsidP="0041158B">
      <w:pPr>
        <w:shd w:val="clear" w:color="auto" w:fill="FFFFFF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41158B" w:rsidRDefault="0041158B" w:rsidP="0041158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浙江师范大学行知学院课程体系</w:t>
      </w:r>
    </w:p>
    <w:tbl>
      <w:tblPr>
        <w:tblW w:w="93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560"/>
        <w:gridCol w:w="2835"/>
        <w:gridCol w:w="1066"/>
        <w:gridCol w:w="3186"/>
      </w:tblGrid>
      <w:tr w:rsidR="0041158B" w:rsidTr="00B408BC">
        <w:trPr>
          <w:trHeight w:val="314"/>
          <w:tblHeader/>
          <w:jc w:val="center"/>
        </w:trPr>
        <w:tc>
          <w:tcPr>
            <w:tcW w:w="2235" w:type="dxa"/>
            <w:gridSpan w:val="2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课程类别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课程模块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学分设置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备注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 w:val="restart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通识</w:t>
            </w:r>
          </w:p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课程</w:t>
            </w:r>
          </w:p>
        </w:tc>
        <w:tc>
          <w:tcPr>
            <w:tcW w:w="1560" w:type="dxa"/>
            <w:vMerge w:val="restart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通识①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思想政治理论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分类教学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信息技术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3.5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分层分类教学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大学外语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分层分类教学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体育与心理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分类教学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创业基础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分层分类教学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大学生职业发展与就业指导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分类教学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文选与应用文写作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分类教学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通识②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历史与文化</w:t>
            </w:r>
          </w:p>
        </w:tc>
        <w:tc>
          <w:tcPr>
            <w:tcW w:w="1066" w:type="dxa"/>
            <w:vMerge w:val="restart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4-10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文学与艺术</w:t>
            </w:r>
          </w:p>
        </w:tc>
        <w:tc>
          <w:tcPr>
            <w:tcW w:w="1066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</w:t>
            </w:r>
            <w:bookmarkStart w:id="1" w:name="_Hlk64795394"/>
            <w:r>
              <w:rPr>
                <w:rFonts w:hint="eastAsia"/>
                <w:szCs w:val="21"/>
              </w:rPr>
              <w:t>必选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门艺术限定性选修课（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学分）</w:t>
            </w:r>
            <w:bookmarkEnd w:id="1"/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经济与社会</w:t>
            </w:r>
          </w:p>
        </w:tc>
        <w:tc>
          <w:tcPr>
            <w:tcW w:w="1066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科学与技术</w:t>
            </w:r>
          </w:p>
        </w:tc>
        <w:tc>
          <w:tcPr>
            <w:tcW w:w="1066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健康与生活</w:t>
            </w:r>
          </w:p>
        </w:tc>
        <w:tc>
          <w:tcPr>
            <w:tcW w:w="1066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创意与创新</w:t>
            </w:r>
          </w:p>
        </w:tc>
        <w:tc>
          <w:tcPr>
            <w:tcW w:w="1066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 w:val="restart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学科</w:t>
            </w:r>
          </w:p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课程</w:t>
            </w:r>
          </w:p>
        </w:tc>
        <w:tc>
          <w:tcPr>
            <w:tcW w:w="1560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学科平台课程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相同学科门类专业协作设置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16-26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专业核心课程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专业自主设置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20-30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专业选修</w:t>
            </w:r>
            <w:r>
              <w:rPr>
                <w:rFonts w:hAnsi="宋体"/>
                <w:szCs w:val="21"/>
              </w:rPr>
              <w:t>课程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专业自主设置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6-</w:t>
            </w:r>
            <w:r>
              <w:rPr>
                <w:rFonts w:hint="eastAsia"/>
                <w:bCs/>
                <w:szCs w:val="21"/>
              </w:rPr>
              <w:t>26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left"/>
              <w:rPr>
                <w:bCs/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拓展课程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根据学生兴趣、爱好选修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6-14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不含通识课程、实践教学课程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 w:val="restart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实践</w:t>
            </w:r>
          </w:p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教学</w:t>
            </w:r>
          </w:p>
        </w:tc>
        <w:tc>
          <w:tcPr>
            <w:tcW w:w="1560" w:type="dxa"/>
            <w:vMerge w:val="restart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基础性实践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思想政治理论课专题实践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个专题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社会实践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含劳动教育及实践（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学分）</w:t>
            </w: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军事训练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体能训练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rPr>
                <w:rFonts w:hAnsi="宋体"/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专业基本技能达标训练项目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szCs w:val="21"/>
              </w:rPr>
              <w:t>-</w:t>
            </w:r>
            <w:r>
              <w:rPr>
                <w:szCs w:val="21"/>
              </w:rPr>
              <w:t>10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提高性实践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提高性实践项目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4-8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实习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4-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毕业设计</w:t>
            </w:r>
            <w:r>
              <w:rPr>
                <w:rFonts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论文</w:t>
            </w:r>
            <w:r>
              <w:rPr>
                <w:rFonts w:hAnsi="宋体"/>
                <w:szCs w:val="21"/>
              </w:rPr>
              <w:t>)</w:t>
            </w:r>
          </w:p>
        </w:tc>
        <w:tc>
          <w:tcPr>
            <w:tcW w:w="1066" w:type="dxa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6-8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创业</w:t>
            </w:r>
            <w:r>
              <w:rPr>
                <w:rFonts w:hAnsi="宋体"/>
                <w:szCs w:val="21"/>
              </w:rPr>
              <w:t>创新实</w:t>
            </w:r>
            <w:r>
              <w:rPr>
                <w:rFonts w:hAnsi="宋体"/>
                <w:bCs/>
                <w:szCs w:val="21"/>
              </w:rPr>
              <w:t>践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科技创新成果</w:t>
            </w:r>
          </w:p>
        </w:tc>
        <w:tc>
          <w:tcPr>
            <w:tcW w:w="1066" w:type="dxa"/>
            <w:vMerge w:val="restart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竞赛获奖成果</w:t>
            </w:r>
          </w:p>
        </w:tc>
        <w:tc>
          <w:tcPr>
            <w:tcW w:w="1066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创业实战成果</w:t>
            </w:r>
          </w:p>
        </w:tc>
        <w:tc>
          <w:tcPr>
            <w:tcW w:w="1066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Ansi="宋体"/>
                <w:bCs/>
                <w:szCs w:val="21"/>
              </w:rPr>
              <w:t>社团活动课程</w:t>
            </w:r>
          </w:p>
        </w:tc>
        <w:tc>
          <w:tcPr>
            <w:tcW w:w="1066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职业资格证书</w:t>
            </w:r>
          </w:p>
        </w:tc>
        <w:tc>
          <w:tcPr>
            <w:tcW w:w="1066" w:type="dxa"/>
            <w:vMerge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1158B" w:rsidTr="00B408BC">
        <w:trPr>
          <w:trHeight w:val="314"/>
          <w:jc w:val="center"/>
        </w:trPr>
        <w:tc>
          <w:tcPr>
            <w:tcW w:w="2235" w:type="dxa"/>
            <w:gridSpan w:val="2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第二专业方向课程</w:t>
            </w:r>
          </w:p>
        </w:tc>
        <w:tc>
          <w:tcPr>
            <w:tcW w:w="2835" w:type="dxa"/>
            <w:vAlign w:val="center"/>
          </w:tcPr>
          <w:p w:rsidR="0041158B" w:rsidRDefault="0041158B" w:rsidP="00B408BC">
            <w:pPr>
              <w:spacing w:line="30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其它专业选修本专业开设的第二专业方向课程</w:t>
            </w:r>
          </w:p>
        </w:tc>
        <w:tc>
          <w:tcPr>
            <w:tcW w:w="4252" w:type="dxa"/>
            <w:gridSpan w:val="2"/>
            <w:vAlign w:val="center"/>
          </w:tcPr>
          <w:p w:rsidR="0041158B" w:rsidRDefault="0041158B" w:rsidP="00B408BC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不少于</w:t>
            </w:r>
            <w:r>
              <w:rPr>
                <w:szCs w:val="21"/>
              </w:rPr>
              <w:t>30</w:t>
            </w:r>
            <w:r>
              <w:rPr>
                <w:rFonts w:hAnsi="宋体"/>
                <w:szCs w:val="21"/>
              </w:rPr>
              <w:t>学分</w:t>
            </w:r>
          </w:p>
        </w:tc>
      </w:tr>
    </w:tbl>
    <w:p w:rsidR="00AC40CD" w:rsidRDefault="00AC40CD" w:rsidP="0041158B"/>
    <w:sectPr w:rsidR="00AC40CD" w:rsidSect="008C2CE9">
      <w:pgSz w:w="11906" w:h="16838"/>
      <w:pgMar w:top="1928" w:right="1418" w:bottom="1985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F8"/>
    <w:rsid w:val="003778F8"/>
    <w:rsid w:val="0041158B"/>
    <w:rsid w:val="008C2CE9"/>
    <w:rsid w:val="00A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2022-06-10T00:21:00Z</dcterms:created>
  <dcterms:modified xsi:type="dcterms:W3CDTF">2022-06-10T00:27:00Z</dcterms:modified>
</cp:coreProperties>
</file>